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C0B" w:rsidRPr="00A25B74" w:rsidRDefault="00776C0B" w:rsidP="00A25B74">
      <w:pPr>
        <w:spacing w:after="0"/>
        <w:rPr>
          <w:sz w:val="4"/>
          <w:szCs w:val="4"/>
        </w:rPr>
      </w:pPr>
    </w:p>
    <w:tbl>
      <w:tblPr>
        <w:tblpPr w:leftFromText="180" w:rightFromText="180" w:vertAnchor="text" w:tblpX="108" w:tblpY="1"/>
        <w:tblOverlap w:val="never"/>
        <w:tblW w:w="4926" w:type="pct"/>
        <w:tblBorders>
          <w:top w:val="single" w:sz="8" w:space="0" w:color="31849B" w:themeColor="accent5" w:themeShade="BF"/>
          <w:left w:val="single" w:sz="8" w:space="0" w:color="31849B" w:themeColor="accent5" w:themeShade="BF"/>
          <w:bottom w:val="single" w:sz="8" w:space="0" w:color="31849B" w:themeColor="accent5" w:themeShade="BF"/>
          <w:right w:val="single" w:sz="8" w:space="0" w:color="31849B" w:themeColor="accent5" w:themeShade="BF"/>
          <w:insideH w:val="single" w:sz="8" w:space="0" w:color="31849B" w:themeColor="accent5" w:themeShade="BF"/>
          <w:insideV w:val="single" w:sz="8" w:space="0" w:color="31849B" w:themeColor="accent5" w:themeShade="BF"/>
        </w:tblBorders>
        <w:tblLook w:val="0000" w:firstRow="0" w:lastRow="0" w:firstColumn="0" w:lastColumn="0" w:noHBand="0" w:noVBand="0"/>
      </w:tblPr>
      <w:tblGrid>
        <w:gridCol w:w="9204"/>
        <w:gridCol w:w="1701"/>
        <w:gridCol w:w="1870"/>
        <w:gridCol w:w="1792"/>
      </w:tblGrid>
      <w:tr w:rsidR="00A25B74" w:rsidRPr="00A25B74" w:rsidTr="00E76A52">
        <w:trPr>
          <w:trHeight w:val="907"/>
        </w:trPr>
        <w:tc>
          <w:tcPr>
            <w:tcW w:w="3159" w:type="pct"/>
            <w:vAlign w:val="center"/>
          </w:tcPr>
          <w:p w:rsidR="00067F46" w:rsidRPr="00A25B74" w:rsidRDefault="00DA5838" w:rsidP="00E76A52">
            <w:pPr>
              <w:spacing w:after="0" w:line="240" w:lineRule="auto"/>
              <w:ind w:left="57"/>
              <w:rPr>
                <w:rFonts w:ascii="Trebuchet MS" w:hAnsi="Trebuchet MS"/>
                <w:sz w:val="28"/>
                <w:szCs w:val="28"/>
              </w:rPr>
            </w:pPr>
            <w:r w:rsidRPr="00DA5838">
              <w:rPr>
                <w:rFonts w:ascii="Trebuchet MS" w:hAnsi="Trebuchet MS"/>
                <w:b/>
                <w:sz w:val="28"/>
                <w:szCs w:val="28"/>
              </w:rPr>
              <w:t>Natural and tectonic hazards - Key ideas</w:t>
            </w:r>
          </w:p>
        </w:tc>
        <w:tc>
          <w:tcPr>
            <w:tcW w:w="584" w:type="pct"/>
            <w:shd w:val="clear" w:color="auto" w:fill="9BBB59" w:themeFill="accent3"/>
            <w:vAlign w:val="center"/>
          </w:tcPr>
          <w:p w:rsidR="00067F46" w:rsidRPr="00A25B74" w:rsidRDefault="00067F46" w:rsidP="00E76A52">
            <w:pPr>
              <w:spacing w:after="0" w:line="240" w:lineRule="auto"/>
              <w:jc w:val="center"/>
              <w:rPr>
                <w:rFonts w:ascii="Trebuchet MS" w:hAnsi="Trebuchet MS"/>
                <w:szCs w:val="24"/>
              </w:rPr>
            </w:pPr>
            <w:r w:rsidRPr="00A25B74">
              <w:rPr>
                <w:rFonts w:ascii="Trebuchet MS" w:hAnsi="Trebuchet MS"/>
                <w:szCs w:val="24"/>
              </w:rPr>
              <w:t>100% confident</w:t>
            </w:r>
          </w:p>
        </w:tc>
        <w:tc>
          <w:tcPr>
            <w:tcW w:w="642" w:type="pct"/>
            <w:shd w:val="clear" w:color="auto" w:fill="FFC000"/>
            <w:vAlign w:val="center"/>
          </w:tcPr>
          <w:p w:rsidR="00067F46" w:rsidRPr="00A25B74" w:rsidRDefault="00067F46" w:rsidP="00E76A52">
            <w:pPr>
              <w:spacing w:after="0" w:line="240" w:lineRule="auto"/>
              <w:jc w:val="center"/>
              <w:rPr>
                <w:rFonts w:ascii="Trebuchet MS" w:hAnsi="Trebuchet MS"/>
                <w:szCs w:val="24"/>
              </w:rPr>
            </w:pPr>
            <w:r w:rsidRPr="00A25B74">
              <w:rPr>
                <w:rFonts w:ascii="Trebuchet MS" w:hAnsi="Trebuchet MS"/>
                <w:szCs w:val="24"/>
              </w:rPr>
              <w:t>I am okay with this, some work needed</w:t>
            </w:r>
          </w:p>
        </w:tc>
        <w:tc>
          <w:tcPr>
            <w:tcW w:w="615" w:type="pct"/>
            <w:shd w:val="clear" w:color="auto" w:fill="C0504D" w:themeFill="accent2"/>
            <w:vAlign w:val="center"/>
          </w:tcPr>
          <w:p w:rsidR="00067F46" w:rsidRPr="00A25B74" w:rsidRDefault="00067F46" w:rsidP="00E76A52">
            <w:pPr>
              <w:spacing w:after="0" w:line="240" w:lineRule="auto"/>
              <w:jc w:val="center"/>
              <w:rPr>
                <w:rFonts w:ascii="Trebuchet MS" w:hAnsi="Trebuchet MS"/>
                <w:szCs w:val="24"/>
              </w:rPr>
            </w:pPr>
            <w:r w:rsidRPr="00A25B74">
              <w:rPr>
                <w:rFonts w:ascii="Trebuchet MS" w:hAnsi="Trebuchet MS"/>
                <w:szCs w:val="24"/>
              </w:rPr>
              <w:t>Definitely need more revision</w:t>
            </w:r>
          </w:p>
        </w:tc>
      </w:tr>
      <w:tr w:rsidR="00720854" w:rsidRPr="00A25B74" w:rsidTr="00E76A52">
        <w:trPr>
          <w:trHeight w:val="454"/>
        </w:trPr>
        <w:tc>
          <w:tcPr>
            <w:tcW w:w="5000" w:type="pct"/>
            <w:gridSpan w:val="4"/>
            <w:shd w:val="clear" w:color="auto" w:fill="DAEEF3" w:themeFill="accent5" w:themeFillTint="33"/>
            <w:vAlign w:val="center"/>
          </w:tcPr>
          <w:p w:rsidR="00720854" w:rsidRPr="00A25B74" w:rsidRDefault="00E76A52" w:rsidP="00E76A52">
            <w:pPr>
              <w:spacing w:after="0" w:line="240" w:lineRule="auto"/>
              <w:ind w:left="57"/>
              <w:rPr>
                <w:rFonts w:ascii="Trebuchet MS" w:hAnsi="Trebuchet MS"/>
              </w:rPr>
            </w:pPr>
            <w:r w:rsidRPr="00E76A52">
              <w:rPr>
                <w:rFonts w:ascii="Trebuchet MS" w:hAnsi="Trebuchet MS"/>
                <w:b/>
                <w:szCs w:val="20"/>
              </w:rPr>
              <w:t>Natural hazards pose major risks to people and property</w:t>
            </w:r>
          </w:p>
        </w:tc>
      </w:tr>
      <w:tr w:rsidR="00A25B74" w:rsidRPr="00A25B74" w:rsidTr="00E76A52">
        <w:trPr>
          <w:trHeight w:val="510"/>
        </w:trPr>
        <w:tc>
          <w:tcPr>
            <w:tcW w:w="3159" w:type="pct"/>
            <w:vAlign w:val="center"/>
          </w:tcPr>
          <w:p w:rsidR="00067F46" w:rsidRPr="00A25B74" w:rsidRDefault="00E76A52" w:rsidP="00E76A52">
            <w:pPr>
              <w:spacing w:after="0" w:line="240" w:lineRule="auto"/>
              <w:ind w:left="57" w:right="113"/>
              <w:rPr>
                <w:rFonts w:ascii="Trebuchet MS" w:hAnsi="Trebuchet MS"/>
              </w:rPr>
            </w:pPr>
            <w:r w:rsidRPr="00E76A52">
              <w:rPr>
                <w:rFonts w:ascii="Trebuchet MS" w:hAnsi="Trebuchet MS"/>
                <w:sz w:val="20"/>
                <w:szCs w:val="20"/>
              </w:rPr>
              <w:t>I know the definition of a natural hazard.</w:t>
            </w:r>
          </w:p>
        </w:tc>
        <w:tc>
          <w:tcPr>
            <w:tcW w:w="584" w:type="pct"/>
            <w:vAlign w:val="center"/>
          </w:tcPr>
          <w:p w:rsidR="00067F46" w:rsidRPr="00A25B74" w:rsidRDefault="00067F46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067F46" w:rsidRPr="00A25B74" w:rsidRDefault="00067F46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067F46" w:rsidRPr="00A25B74" w:rsidRDefault="00067F46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25B74" w:rsidRPr="00A25B74" w:rsidTr="00E76A52">
        <w:trPr>
          <w:trHeight w:val="510"/>
        </w:trPr>
        <w:tc>
          <w:tcPr>
            <w:tcW w:w="3159" w:type="pct"/>
            <w:vAlign w:val="center"/>
          </w:tcPr>
          <w:p w:rsidR="00067F46" w:rsidRPr="00A25B74" w:rsidRDefault="00E76A52" w:rsidP="00E76A52">
            <w:pPr>
              <w:spacing w:after="0" w:line="240" w:lineRule="auto"/>
              <w:ind w:left="57"/>
              <w:rPr>
                <w:rFonts w:ascii="Trebuchet MS" w:hAnsi="Trebuchet MS"/>
              </w:rPr>
            </w:pPr>
            <w:r w:rsidRPr="00E76A52">
              <w:rPr>
                <w:rFonts w:ascii="Trebuchet MS" w:hAnsi="Trebuchet MS"/>
                <w:sz w:val="20"/>
                <w:szCs w:val="20"/>
              </w:rPr>
              <w:t>I know the types of natural hazard.</w:t>
            </w:r>
          </w:p>
        </w:tc>
        <w:tc>
          <w:tcPr>
            <w:tcW w:w="584" w:type="pct"/>
            <w:vAlign w:val="center"/>
          </w:tcPr>
          <w:p w:rsidR="00067F46" w:rsidRPr="00A25B74" w:rsidRDefault="00067F46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067F46" w:rsidRPr="00A25B74" w:rsidRDefault="00067F46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067F46" w:rsidRPr="00A25B74" w:rsidRDefault="00067F46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25B74" w:rsidRPr="00A25B74" w:rsidTr="00E76A52">
        <w:trPr>
          <w:trHeight w:val="510"/>
        </w:trPr>
        <w:tc>
          <w:tcPr>
            <w:tcW w:w="3159" w:type="pct"/>
            <w:vAlign w:val="center"/>
          </w:tcPr>
          <w:p w:rsidR="00067F46" w:rsidRPr="00A25B74" w:rsidRDefault="00E76A52" w:rsidP="00E76A52">
            <w:pPr>
              <w:spacing w:after="0" w:line="240" w:lineRule="auto"/>
              <w:ind w:left="57"/>
              <w:rPr>
                <w:rFonts w:ascii="Trebuchet MS" w:hAnsi="Trebuchet MS"/>
              </w:rPr>
            </w:pPr>
            <w:r w:rsidRPr="00E76A52">
              <w:rPr>
                <w:rFonts w:ascii="Trebuchet MS" w:hAnsi="Trebuchet MS"/>
                <w:sz w:val="20"/>
                <w:szCs w:val="20"/>
              </w:rPr>
              <w:t>I know the factors affecting hazard risk.</w:t>
            </w:r>
          </w:p>
        </w:tc>
        <w:tc>
          <w:tcPr>
            <w:tcW w:w="584" w:type="pct"/>
            <w:vAlign w:val="center"/>
          </w:tcPr>
          <w:p w:rsidR="00067F46" w:rsidRPr="00A25B74" w:rsidRDefault="00067F46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067F46" w:rsidRPr="00A25B74" w:rsidRDefault="00067F46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067F46" w:rsidRPr="00A25B74" w:rsidRDefault="00067F46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720854" w:rsidRPr="00A25B74" w:rsidTr="00E76A52">
        <w:trPr>
          <w:trHeight w:val="454"/>
        </w:trPr>
        <w:tc>
          <w:tcPr>
            <w:tcW w:w="5000" w:type="pct"/>
            <w:gridSpan w:val="4"/>
            <w:shd w:val="clear" w:color="auto" w:fill="DAEEF3" w:themeFill="accent5" w:themeFillTint="33"/>
            <w:vAlign w:val="center"/>
          </w:tcPr>
          <w:p w:rsidR="00720854" w:rsidRPr="00A25B74" w:rsidRDefault="00E76A52" w:rsidP="00E76A52">
            <w:pPr>
              <w:spacing w:after="0" w:line="240" w:lineRule="auto"/>
              <w:ind w:left="57"/>
              <w:rPr>
                <w:rFonts w:ascii="Trebuchet MS" w:hAnsi="Trebuchet MS"/>
              </w:rPr>
            </w:pPr>
            <w:r w:rsidRPr="00E76A52">
              <w:rPr>
                <w:rFonts w:ascii="Trebuchet MS" w:hAnsi="Trebuchet MS"/>
                <w:b/>
                <w:szCs w:val="20"/>
              </w:rPr>
              <w:t>Earthquakes and volcanic eruptions are the result of physical processes</w:t>
            </w:r>
          </w:p>
        </w:tc>
      </w:tr>
      <w:tr w:rsidR="00A25B74" w:rsidRPr="00A25B74" w:rsidTr="00E76A52">
        <w:trPr>
          <w:trHeight w:val="510"/>
        </w:trPr>
        <w:tc>
          <w:tcPr>
            <w:tcW w:w="3159" w:type="pct"/>
            <w:vAlign w:val="center"/>
          </w:tcPr>
          <w:p w:rsidR="00720854" w:rsidRPr="00A25B74" w:rsidRDefault="00E76A52" w:rsidP="00E76A52">
            <w:pPr>
              <w:spacing w:after="0" w:line="240" w:lineRule="auto"/>
              <w:ind w:left="57"/>
              <w:rPr>
                <w:rFonts w:ascii="Trebuchet MS" w:hAnsi="Trebuchet MS"/>
              </w:rPr>
            </w:pPr>
            <w:r w:rsidRPr="00E76A52">
              <w:rPr>
                <w:rFonts w:ascii="Trebuchet MS" w:hAnsi="Trebuchet MS"/>
                <w:sz w:val="20"/>
                <w:szCs w:val="20"/>
              </w:rPr>
              <w:t>I know plate tectonic theory and  theory</w:t>
            </w:r>
          </w:p>
        </w:tc>
        <w:tc>
          <w:tcPr>
            <w:tcW w:w="584" w:type="pct"/>
            <w:vAlign w:val="center"/>
          </w:tcPr>
          <w:p w:rsidR="00720854" w:rsidRPr="00A25B74" w:rsidRDefault="00720854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720854" w:rsidRPr="00A25B74" w:rsidRDefault="00720854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720854" w:rsidRPr="00A25B74" w:rsidRDefault="00720854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25B74" w:rsidRPr="00A25B74" w:rsidTr="00E76A52">
        <w:trPr>
          <w:trHeight w:val="737"/>
        </w:trPr>
        <w:tc>
          <w:tcPr>
            <w:tcW w:w="3159" w:type="pct"/>
            <w:vAlign w:val="center"/>
          </w:tcPr>
          <w:p w:rsidR="00720854" w:rsidRPr="00A25B74" w:rsidRDefault="00E76A52" w:rsidP="00E76A52">
            <w:pPr>
              <w:spacing w:after="0" w:line="240" w:lineRule="auto"/>
              <w:ind w:left="57"/>
              <w:rPr>
                <w:rFonts w:ascii="Trebuchet MS" w:hAnsi="Trebuchet MS"/>
              </w:rPr>
            </w:pPr>
            <w:r w:rsidRPr="00E76A52">
              <w:rPr>
                <w:rFonts w:ascii="Trebuchet MS" w:hAnsi="Trebuchet MS"/>
                <w:sz w:val="20"/>
                <w:szCs w:val="20"/>
              </w:rPr>
              <w:t>I know the global distribution of earthquakes and volcanic eruptions and their relationship to plate margins.</w:t>
            </w:r>
          </w:p>
        </w:tc>
        <w:tc>
          <w:tcPr>
            <w:tcW w:w="584" w:type="pct"/>
            <w:vAlign w:val="center"/>
          </w:tcPr>
          <w:p w:rsidR="00720854" w:rsidRPr="00A25B74" w:rsidRDefault="00720854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720854" w:rsidRPr="00A25B74" w:rsidRDefault="00720854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720854" w:rsidRPr="00A25B74" w:rsidRDefault="00720854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E76A52" w:rsidRPr="00A25B74" w:rsidTr="00E76A52">
        <w:trPr>
          <w:trHeight w:val="737"/>
        </w:trPr>
        <w:tc>
          <w:tcPr>
            <w:tcW w:w="3159" w:type="pct"/>
            <w:vAlign w:val="center"/>
          </w:tcPr>
          <w:p w:rsidR="00E76A52" w:rsidRPr="00E76A52" w:rsidRDefault="00E76A52" w:rsidP="00E76A52">
            <w:pPr>
              <w:spacing w:after="0" w:line="240" w:lineRule="auto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E76A52">
              <w:rPr>
                <w:rFonts w:ascii="Trebuchet MS" w:hAnsi="Trebuchet MS"/>
                <w:sz w:val="20"/>
                <w:szCs w:val="20"/>
              </w:rPr>
              <w:t>I know the physical processes taking place at different types of plate margin (constructive, destructive and conservative) that lead to earthquakes and volcanic activity.</w:t>
            </w:r>
          </w:p>
        </w:tc>
        <w:tc>
          <w:tcPr>
            <w:tcW w:w="584" w:type="pct"/>
            <w:vAlign w:val="center"/>
          </w:tcPr>
          <w:p w:rsidR="00E76A52" w:rsidRPr="00A25B74" w:rsidRDefault="00E76A52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E76A52" w:rsidRPr="00A25B74" w:rsidRDefault="00E76A52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E76A52" w:rsidRPr="00A25B74" w:rsidRDefault="00E76A52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E76A52" w:rsidRPr="00A25B74" w:rsidTr="00E76A52">
        <w:trPr>
          <w:trHeight w:val="454"/>
        </w:trPr>
        <w:tc>
          <w:tcPr>
            <w:tcW w:w="5000" w:type="pct"/>
            <w:gridSpan w:val="4"/>
            <w:shd w:val="clear" w:color="auto" w:fill="DAEEF3" w:themeFill="accent5" w:themeFillTint="33"/>
            <w:vAlign w:val="center"/>
          </w:tcPr>
          <w:p w:rsidR="00E76A52" w:rsidRPr="00A25B74" w:rsidRDefault="00E76A52" w:rsidP="00E76A52">
            <w:pPr>
              <w:spacing w:after="0" w:line="240" w:lineRule="auto"/>
              <w:rPr>
                <w:rFonts w:ascii="Trebuchet MS" w:hAnsi="Trebuchet MS"/>
              </w:rPr>
            </w:pPr>
            <w:r w:rsidRPr="00E76A52">
              <w:rPr>
                <w:rFonts w:ascii="Trebuchet MS" w:hAnsi="Trebuchet MS"/>
                <w:b/>
                <w:szCs w:val="20"/>
              </w:rPr>
              <w:t>The effects of, and responses to, a tectonic hazard vary between areas of contrasting levels of wealth</w:t>
            </w:r>
          </w:p>
        </w:tc>
      </w:tr>
      <w:tr w:rsidR="00E76A52" w:rsidRPr="00A25B74" w:rsidTr="00E76A52">
        <w:trPr>
          <w:trHeight w:val="737"/>
        </w:trPr>
        <w:tc>
          <w:tcPr>
            <w:tcW w:w="3159" w:type="pct"/>
            <w:vAlign w:val="center"/>
          </w:tcPr>
          <w:p w:rsidR="00E76A52" w:rsidRPr="00E76A52" w:rsidRDefault="00E76A52" w:rsidP="00E76A52">
            <w:pPr>
              <w:spacing w:after="0" w:line="240" w:lineRule="auto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E76A52">
              <w:rPr>
                <w:rFonts w:ascii="Trebuchet MS" w:hAnsi="Trebuchet MS"/>
                <w:sz w:val="20"/>
                <w:szCs w:val="20"/>
              </w:rPr>
              <w:t xml:space="preserve">I know the primary and secondary effects of a tectonic hazard </w:t>
            </w:r>
            <w:r w:rsidR="006B4474">
              <w:rPr>
                <w:rFonts w:ascii="Trebuchet MS" w:hAnsi="Trebuchet MS"/>
                <w:sz w:val="20"/>
                <w:szCs w:val="20"/>
              </w:rPr>
              <w:t xml:space="preserve">and know the immediate and long </w:t>
            </w:r>
            <w:r w:rsidRPr="00E76A52">
              <w:rPr>
                <w:rFonts w:ascii="Trebuchet MS" w:hAnsi="Trebuchet MS"/>
                <w:sz w:val="20"/>
                <w:szCs w:val="20"/>
              </w:rPr>
              <w:t>term responses to a tectonic hazard.</w:t>
            </w:r>
          </w:p>
        </w:tc>
        <w:tc>
          <w:tcPr>
            <w:tcW w:w="584" w:type="pct"/>
            <w:vAlign w:val="center"/>
          </w:tcPr>
          <w:p w:rsidR="00E76A52" w:rsidRPr="00A25B74" w:rsidRDefault="00E76A52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E76A52" w:rsidRPr="00A25B74" w:rsidRDefault="00E76A52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E76A52" w:rsidRPr="00A25B74" w:rsidRDefault="00E76A52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E76A52" w:rsidRPr="00A25B74" w:rsidTr="00E76A52">
        <w:trPr>
          <w:trHeight w:val="737"/>
        </w:trPr>
        <w:tc>
          <w:tcPr>
            <w:tcW w:w="3159" w:type="pct"/>
            <w:vAlign w:val="center"/>
          </w:tcPr>
          <w:p w:rsidR="00E76A52" w:rsidRPr="00E76A52" w:rsidRDefault="00E76A52" w:rsidP="00E76A52">
            <w:pPr>
              <w:spacing w:after="0" w:line="240" w:lineRule="auto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E76A52">
              <w:rPr>
                <w:rFonts w:ascii="Trebuchet MS" w:hAnsi="Trebuchet MS"/>
                <w:sz w:val="20"/>
                <w:szCs w:val="20"/>
              </w:rPr>
              <w:t>I know named examples to show how the effects and responses to a tectonic hazard vary between two areas of contrasting levels of wealth.</w:t>
            </w:r>
          </w:p>
        </w:tc>
        <w:tc>
          <w:tcPr>
            <w:tcW w:w="584" w:type="pct"/>
            <w:vAlign w:val="center"/>
          </w:tcPr>
          <w:p w:rsidR="00E76A52" w:rsidRPr="00A25B74" w:rsidRDefault="00E76A52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E76A52" w:rsidRPr="00A25B74" w:rsidRDefault="00E76A52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E76A52" w:rsidRPr="00A25B74" w:rsidRDefault="00E76A52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E76A52" w:rsidRPr="00A25B74" w:rsidTr="00E76A52">
        <w:trPr>
          <w:trHeight w:val="454"/>
        </w:trPr>
        <w:tc>
          <w:tcPr>
            <w:tcW w:w="5000" w:type="pct"/>
            <w:gridSpan w:val="4"/>
            <w:shd w:val="clear" w:color="auto" w:fill="DAEEF3" w:themeFill="accent5" w:themeFillTint="33"/>
            <w:vAlign w:val="center"/>
          </w:tcPr>
          <w:p w:rsidR="00E76A52" w:rsidRPr="00A25B74" w:rsidRDefault="00E76A52" w:rsidP="00E76A52">
            <w:pPr>
              <w:spacing w:after="0" w:line="240" w:lineRule="auto"/>
              <w:rPr>
                <w:rFonts w:ascii="Trebuchet MS" w:hAnsi="Trebuchet MS"/>
              </w:rPr>
            </w:pPr>
            <w:r w:rsidRPr="00E76A52">
              <w:rPr>
                <w:rFonts w:ascii="Trebuchet MS" w:hAnsi="Trebuchet MS"/>
                <w:b/>
                <w:szCs w:val="20"/>
              </w:rPr>
              <w:t>Management can reduce the effects of a tectonic hazard</w:t>
            </w:r>
          </w:p>
        </w:tc>
      </w:tr>
      <w:tr w:rsidR="00E76A52" w:rsidRPr="00A25B74" w:rsidTr="00E76A52">
        <w:trPr>
          <w:trHeight w:val="510"/>
        </w:trPr>
        <w:tc>
          <w:tcPr>
            <w:tcW w:w="3159" w:type="pct"/>
            <w:vAlign w:val="center"/>
          </w:tcPr>
          <w:p w:rsidR="00E76A52" w:rsidRPr="00E76A52" w:rsidRDefault="00E76A52" w:rsidP="00E76A52">
            <w:pPr>
              <w:spacing w:after="0" w:line="240" w:lineRule="auto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E76A52">
              <w:rPr>
                <w:rFonts w:ascii="Trebuchet MS" w:hAnsi="Trebuchet MS"/>
                <w:sz w:val="20"/>
                <w:szCs w:val="20"/>
              </w:rPr>
              <w:t>I know the reasons why people continue to live in areas at risk from a tectonic hazard.</w:t>
            </w:r>
          </w:p>
        </w:tc>
        <w:tc>
          <w:tcPr>
            <w:tcW w:w="584" w:type="pct"/>
            <w:vAlign w:val="center"/>
          </w:tcPr>
          <w:p w:rsidR="00E76A52" w:rsidRPr="00A25B74" w:rsidRDefault="00E76A52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E76A52" w:rsidRPr="00A25B74" w:rsidRDefault="00E76A52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E76A52" w:rsidRPr="00A25B74" w:rsidRDefault="00E76A52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E76A52" w:rsidRPr="00A25B74" w:rsidTr="00E76A52">
        <w:trPr>
          <w:trHeight w:val="737"/>
        </w:trPr>
        <w:tc>
          <w:tcPr>
            <w:tcW w:w="3159" w:type="pct"/>
            <w:vAlign w:val="center"/>
          </w:tcPr>
          <w:p w:rsidR="00E76A52" w:rsidRPr="00E76A52" w:rsidRDefault="00E76A52" w:rsidP="00E76A52">
            <w:pPr>
              <w:spacing w:after="0" w:line="240" w:lineRule="auto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E76A52">
              <w:rPr>
                <w:rFonts w:ascii="Trebuchet MS" w:hAnsi="Trebuchet MS"/>
                <w:sz w:val="20"/>
                <w:szCs w:val="20"/>
              </w:rPr>
              <w:t>I know how monitoring, prediction, protection and planning can reduce the risks from a tectonic hazard.</w:t>
            </w:r>
          </w:p>
        </w:tc>
        <w:tc>
          <w:tcPr>
            <w:tcW w:w="584" w:type="pct"/>
            <w:vAlign w:val="center"/>
          </w:tcPr>
          <w:p w:rsidR="00E76A52" w:rsidRPr="00A25B74" w:rsidRDefault="00E76A52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E76A52" w:rsidRPr="00A25B74" w:rsidRDefault="00E76A52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E76A52" w:rsidRPr="00A25B74" w:rsidRDefault="00E76A52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</w:tbl>
    <w:p w:rsidR="00E76A52" w:rsidRDefault="00E76A52" w:rsidP="00E76A52">
      <w:pPr>
        <w:spacing w:after="0"/>
        <w:rPr>
          <w:rFonts w:ascii="Trebuchet MS" w:hAnsi="Trebuchet MS"/>
        </w:rPr>
        <w:sectPr w:rsidR="00E76A52" w:rsidSect="00290F78">
          <w:headerReference w:type="default" r:id="rId7"/>
          <w:footerReference w:type="default" r:id="rId8"/>
          <w:pgSz w:w="16838" w:h="11906" w:orient="landscape"/>
          <w:pgMar w:top="1134" w:right="1134" w:bottom="851" w:left="1134" w:header="709" w:footer="709" w:gutter="0"/>
          <w:cols w:space="708"/>
          <w:docGrid w:linePitch="381"/>
        </w:sectPr>
      </w:pPr>
    </w:p>
    <w:tbl>
      <w:tblPr>
        <w:tblpPr w:leftFromText="180" w:rightFromText="180" w:vertAnchor="text" w:tblpX="108" w:tblpY="1"/>
        <w:tblOverlap w:val="never"/>
        <w:tblW w:w="4926" w:type="pct"/>
        <w:tblBorders>
          <w:top w:val="single" w:sz="8" w:space="0" w:color="31849B" w:themeColor="accent5" w:themeShade="BF"/>
          <w:left w:val="single" w:sz="8" w:space="0" w:color="31849B" w:themeColor="accent5" w:themeShade="BF"/>
          <w:bottom w:val="single" w:sz="8" w:space="0" w:color="31849B" w:themeColor="accent5" w:themeShade="BF"/>
          <w:right w:val="single" w:sz="8" w:space="0" w:color="31849B" w:themeColor="accent5" w:themeShade="BF"/>
          <w:insideH w:val="single" w:sz="8" w:space="0" w:color="31849B" w:themeColor="accent5" w:themeShade="BF"/>
          <w:insideV w:val="single" w:sz="8" w:space="0" w:color="31849B" w:themeColor="accent5" w:themeShade="BF"/>
        </w:tblBorders>
        <w:tblLook w:val="0000" w:firstRow="0" w:lastRow="0" w:firstColumn="0" w:lastColumn="0" w:noHBand="0" w:noVBand="0"/>
      </w:tblPr>
      <w:tblGrid>
        <w:gridCol w:w="6911"/>
        <w:gridCol w:w="2296"/>
        <w:gridCol w:w="1701"/>
        <w:gridCol w:w="1870"/>
        <w:gridCol w:w="1789"/>
      </w:tblGrid>
      <w:tr w:rsidR="006B4474" w:rsidRPr="00A25B74" w:rsidTr="006B4474">
        <w:trPr>
          <w:trHeight w:val="510"/>
        </w:trPr>
        <w:tc>
          <w:tcPr>
            <w:tcW w:w="2372" w:type="pct"/>
            <w:shd w:val="clear" w:color="auto" w:fill="DAEEF3" w:themeFill="accent5" w:themeFillTint="33"/>
            <w:vAlign w:val="center"/>
          </w:tcPr>
          <w:p w:rsidR="006B4474" w:rsidRPr="00A25B74" w:rsidRDefault="006B4474" w:rsidP="00E76A52">
            <w:pPr>
              <w:tabs>
                <w:tab w:val="left" w:pos="2295"/>
              </w:tabs>
              <w:spacing w:after="0" w:line="240" w:lineRule="auto"/>
              <w:ind w:left="57"/>
              <w:rPr>
                <w:rFonts w:ascii="Trebuchet MS" w:hAnsi="Trebuchet MS"/>
              </w:rPr>
            </w:pPr>
            <w:r w:rsidRPr="00A25B74">
              <w:rPr>
                <w:rFonts w:ascii="Trebuchet MS" w:hAnsi="Trebuchet MS"/>
                <w:b/>
                <w:szCs w:val="20"/>
              </w:rPr>
              <w:lastRenderedPageBreak/>
              <w:t>Exam question: marks awarded</w:t>
            </w:r>
          </w:p>
        </w:tc>
        <w:tc>
          <w:tcPr>
            <w:tcW w:w="788" w:type="pct"/>
            <w:shd w:val="clear" w:color="auto" w:fill="DAEEF3" w:themeFill="accent5" w:themeFillTint="33"/>
            <w:vAlign w:val="center"/>
          </w:tcPr>
          <w:p w:rsidR="006B4474" w:rsidRPr="006B4474" w:rsidRDefault="006B4474" w:rsidP="006B4474">
            <w:pPr>
              <w:spacing w:after="0" w:line="240" w:lineRule="auto"/>
              <w:jc w:val="center"/>
              <w:rPr>
                <w:rFonts w:ascii="Trebuchet MS" w:hAnsi="Trebuchet MS"/>
                <w:b/>
              </w:rPr>
            </w:pPr>
            <w:r w:rsidRPr="006B4474">
              <w:rPr>
                <w:rFonts w:ascii="Trebuchet MS" w:hAnsi="Trebuchet MS"/>
                <w:b/>
                <w:sz w:val="20"/>
                <w:szCs w:val="20"/>
              </w:rPr>
              <w:t>/</w:t>
            </w:r>
          </w:p>
        </w:tc>
        <w:tc>
          <w:tcPr>
            <w:tcW w:w="584" w:type="pct"/>
            <w:shd w:val="clear" w:color="auto" w:fill="DAEEF3" w:themeFill="accent5" w:themeFillTint="33"/>
            <w:vAlign w:val="center"/>
          </w:tcPr>
          <w:p w:rsidR="006B4474" w:rsidRPr="006B4474" w:rsidRDefault="006B4474" w:rsidP="006B4474">
            <w:pPr>
              <w:spacing w:after="0" w:line="240" w:lineRule="auto"/>
              <w:jc w:val="center"/>
              <w:rPr>
                <w:rFonts w:ascii="Trebuchet MS" w:hAnsi="Trebuchet MS"/>
                <w:b/>
              </w:rPr>
            </w:pPr>
            <w:r w:rsidRPr="006B4474">
              <w:rPr>
                <w:rFonts w:ascii="Trebuchet MS" w:hAnsi="Trebuchet MS"/>
                <w:b/>
                <w:sz w:val="20"/>
                <w:szCs w:val="20"/>
              </w:rPr>
              <w:t>%</w:t>
            </w:r>
          </w:p>
        </w:tc>
        <w:tc>
          <w:tcPr>
            <w:tcW w:w="642" w:type="pct"/>
            <w:shd w:val="clear" w:color="auto" w:fill="DAEEF3" w:themeFill="accent5" w:themeFillTint="33"/>
            <w:vAlign w:val="center"/>
          </w:tcPr>
          <w:p w:rsidR="006B4474" w:rsidRPr="006B4474" w:rsidRDefault="006B4474" w:rsidP="006B4474">
            <w:pPr>
              <w:spacing w:after="0" w:line="240" w:lineRule="auto"/>
              <w:jc w:val="center"/>
              <w:rPr>
                <w:rFonts w:ascii="Trebuchet MS" w:hAnsi="Trebuchet MS"/>
                <w:b/>
              </w:rPr>
            </w:pPr>
            <w:r w:rsidRPr="006B4474">
              <w:rPr>
                <w:rFonts w:ascii="Trebuchet MS" w:hAnsi="Trebuchet MS"/>
                <w:b/>
                <w:sz w:val="20"/>
                <w:szCs w:val="20"/>
              </w:rPr>
              <w:t>Grade equivalent</w:t>
            </w:r>
          </w:p>
        </w:tc>
        <w:tc>
          <w:tcPr>
            <w:tcW w:w="614" w:type="pct"/>
            <w:shd w:val="clear" w:color="auto" w:fill="DAEEF3" w:themeFill="accent5" w:themeFillTint="33"/>
            <w:vAlign w:val="center"/>
          </w:tcPr>
          <w:p w:rsidR="006B4474" w:rsidRPr="006B4474" w:rsidRDefault="006B4474" w:rsidP="006B4474">
            <w:pPr>
              <w:spacing w:after="0" w:line="240" w:lineRule="auto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6B4474">
              <w:rPr>
                <w:rFonts w:ascii="Trebuchet MS" w:hAnsi="Trebuchet MS"/>
                <w:b/>
                <w:sz w:val="20"/>
                <w:szCs w:val="20"/>
              </w:rPr>
              <w:t>Target grade</w:t>
            </w:r>
          </w:p>
        </w:tc>
      </w:tr>
      <w:tr w:rsidR="006B4474" w:rsidRPr="00A25B74" w:rsidTr="006B4474">
        <w:trPr>
          <w:trHeight w:val="510"/>
        </w:trPr>
        <w:tc>
          <w:tcPr>
            <w:tcW w:w="2372" w:type="pct"/>
            <w:vAlign w:val="center"/>
          </w:tcPr>
          <w:p w:rsidR="006B4474" w:rsidRPr="00A25B74" w:rsidRDefault="00C226E5" w:rsidP="00E76A52">
            <w:pPr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rebuchet MS" w:hAnsi="Trebuchet MS"/>
              </w:rPr>
            </w:pPr>
            <w:r>
              <w:rPr>
                <w:rFonts w:ascii="Trebuchet MS" w:hAnsi="Trebuchet MS"/>
                <w:sz w:val="20"/>
                <w:szCs w:val="20"/>
              </w:rPr>
              <w:t>Mid-Term “Milestone” Assessment</w:t>
            </w:r>
          </w:p>
        </w:tc>
        <w:tc>
          <w:tcPr>
            <w:tcW w:w="788" w:type="pct"/>
            <w:vAlign w:val="center"/>
          </w:tcPr>
          <w:p w:rsidR="006B4474" w:rsidRPr="00A25B74" w:rsidRDefault="006B4474" w:rsidP="006B4474">
            <w:pPr>
              <w:spacing w:after="0" w:line="240" w:lineRule="auto"/>
              <w:ind w:left="720"/>
              <w:rPr>
                <w:rFonts w:ascii="Trebuchet MS" w:hAnsi="Trebuchet MS"/>
              </w:rPr>
            </w:pPr>
          </w:p>
        </w:tc>
        <w:tc>
          <w:tcPr>
            <w:tcW w:w="584" w:type="pct"/>
            <w:vAlign w:val="center"/>
          </w:tcPr>
          <w:p w:rsidR="006B4474" w:rsidRPr="00A25B74" w:rsidRDefault="006B4474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6B4474" w:rsidRPr="00A25B74" w:rsidRDefault="006B4474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6B4474" w:rsidRPr="00A25B74" w:rsidRDefault="006B4474" w:rsidP="00E76A52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</w:tbl>
    <w:p w:rsidR="00C55E50" w:rsidRPr="00A12EA1" w:rsidRDefault="00C55E50" w:rsidP="008A27CB">
      <w:pPr>
        <w:spacing w:after="0"/>
      </w:pPr>
      <w:bookmarkStart w:id="0" w:name="_GoBack"/>
      <w:bookmarkEnd w:id="0"/>
    </w:p>
    <w:sectPr w:rsidR="00C55E50" w:rsidRPr="00A12EA1" w:rsidSect="00290F78"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CA5" w:rsidRDefault="006E6CA5" w:rsidP="00B55A21">
      <w:r>
        <w:separator/>
      </w:r>
    </w:p>
  </w:endnote>
  <w:endnote w:type="continuationSeparator" w:id="0">
    <w:p w:rsidR="006E6CA5" w:rsidRDefault="006E6CA5" w:rsidP="00B5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A21" w:rsidRPr="00B55A21" w:rsidRDefault="0078237D" w:rsidP="00290F78">
    <w:pPr>
      <w:pStyle w:val="Footer"/>
      <w:pBdr>
        <w:top w:val="single" w:sz="4" w:space="1" w:color="auto"/>
      </w:pBdr>
      <w:tabs>
        <w:tab w:val="clear" w:pos="4513"/>
        <w:tab w:val="clear" w:pos="9026"/>
        <w:tab w:val="center" w:pos="7371"/>
        <w:tab w:val="right" w:pos="14570"/>
      </w:tabs>
      <w:spacing w:before="120" w:line="240" w:lineRule="auto"/>
      <w:rPr>
        <w:rFonts w:ascii="Arial" w:hAnsi="Arial" w:cs="Arial"/>
        <w:color w:val="auto"/>
        <w:sz w:val="20"/>
      </w:rPr>
    </w:pPr>
    <w:r>
      <w:rPr>
        <w:rFonts w:ascii="Arial" w:hAnsi="Arial" w:cs="Arial"/>
        <w:color w:val="auto"/>
        <w:sz w:val="20"/>
      </w:rPr>
      <w:t>© www.teachit</w:t>
    </w:r>
    <w:r w:rsidR="00F011C6">
      <w:rPr>
        <w:rFonts w:ascii="Arial" w:hAnsi="Arial" w:cs="Arial"/>
        <w:color w:val="auto"/>
        <w:sz w:val="20"/>
      </w:rPr>
      <w:t>geography</w:t>
    </w:r>
    <w:r w:rsidR="00E7240F">
      <w:rPr>
        <w:rFonts w:ascii="Arial" w:hAnsi="Arial" w:cs="Arial"/>
        <w:color w:val="auto"/>
        <w:sz w:val="20"/>
      </w:rPr>
      <w:t>.co.uk 2016</w:t>
    </w:r>
    <w:r w:rsidR="00B55A21" w:rsidRPr="00B55A21">
      <w:rPr>
        <w:rFonts w:ascii="Arial" w:hAnsi="Arial" w:cs="Arial"/>
        <w:color w:val="auto"/>
        <w:sz w:val="20"/>
      </w:rPr>
      <w:tab/>
    </w:r>
    <w:r w:rsidR="00030A25">
      <w:rPr>
        <w:rFonts w:ascii="Arial" w:hAnsi="Arial" w:cs="Arial"/>
        <w:color w:val="auto"/>
        <w:sz w:val="20"/>
      </w:rPr>
      <w:t>26410</w:t>
    </w:r>
    <w:r w:rsidR="00B55A21" w:rsidRPr="00B55A21">
      <w:rPr>
        <w:rFonts w:ascii="Arial" w:hAnsi="Arial" w:cs="Arial"/>
        <w:color w:val="auto"/>
        <w:sz w:val="20"/>
      </w:rPr>
      <w:tab/>
      <w:t xml:space="preserve">Page </w:t>
    </w:r>
    <w:r w:rsidR="00B55A21" w:rsidRPr="00B55A21">
      <w:rPr>
        <w:rFonts w:ascii="Arial" w:hAnsi="Arial" w:cs="Arial"/>
        <w:bCs/>
        <w:color w:val="auto"/>
        <w:sz w:val="20"/>
      </w:rPr>
      <w:fldChar w:fldCharType="begin"/>
    </w:r>
    <w:r w:rsidR="00B55A21" w:rsidRPr="00B55A21">
      <w:rPr>
        <w:rFonts w:ascii="Arial" w:hAnsi="Arial" w:cs="Arial"/>
        <w:bCs/>
        <w:color w:val="auto"/>
        <w:sz w:val="20"/>
      </w:rPr>
      <w:instrText xml:space="preserve"> PAGE  \* Arabic  \* MERGEFORMAT </w:instrText>
    </w:r>
    <w:r w:rsidR="00B55A21" w:rsidRPr="00B55A21">
      <w:rPr>
        <w:rFonts w:ascii="Arial" w:hAnsi="Arial" w:cs="Arial"/>
        <w:bCs/>
        <w:color w:val="auto"/>
        <w:sz w:val="20"/>
      </w:rPr>
      <w:fldChar w:fldCharType="separate"/>
    </w:r>
    <w:r w:rsidR="00C226E5">
      <w:rPr>
        <w:rFonts w:ascii="Arial" w:hAnsi="Arial" w:cs="Arial"/>
        <w:bCs/>
        <w:noProof/>
        <w:color w:val="auto"/>
        <w:sz w:val="20"/>
      </w:rPr>
      <w:t>1</w:t>
    </w:r>
    <w:r w:rsidR="00B55A21" w:rsidRPr="00B55A21">
      <w:rPr>
        <w:rFonts w:ascii="Arial" w:hAnsi="Arial" w:cs="Arial"/>
        <w:bCs/>
        <w:color w:val="auto"/>
        <w:sz w:val="20"/>
      </w:rPr>
      <w:fldChar w:fldCharType="end"/>
    </w:r>
    <w:r w:rsidR="00B55A21" w:rsidRPr="00B55A21">
      <w:rPr>
        <w:rFonts w:ascii="Arial" w:hAnsi="Arial" w:cs="Arial"/>
        <w:color w:val="auto"/>
        <w:sz w:val="20"/>
      </w:rPr>
      <w:t xml:space="preserve"> of </w:t>
    </w:r>
    <w:r w:rsidR="00B55A21" w:rsidRPr="00B55A21">
      <w:rPr>
        <w:rFonts w:ascii="Arial" w:hAnsi="Arial" w:cs="Arial"/>
        <w:bCs/>
        <w:color w:val="auto"/>
        <w:sz w:val="20"/>
      </w:rPr>
      <w:fldChar w:fldCharType="begin"/>
    </w:r>
    <w:r w:rsidR="00B55A21" w:rsidRPr="00B55A21">
      <w:rPr>
        <w:rFonts w:ascii="Arial" w:hAnsi="Arial" w:cs="Arial"/>
        <w:bCs/>
        <w:color w:val="auto"/>
        <w:sz w:val="20"/>
      </w:rPr>
      <w:instrText xml:space="preserve"> NUMPAGES  \* Arabic  \* MERGEFORMAT </w:instrText>
    </w:r>
    <w:r w:rsidR="00B55A21" w:rsidRPr="00B55A21">
      <w:rPr>
        <w:rFonts w:ascii="Arial" w:hAnsi="Arial" w:cs="Arial"/>
        <w:bCs/>
        <w:color w:val="auto"/>
        <w:sz w:val="20"/>
      </w:rPr>
      <w:fldChar w:fldCharType="separate"/>
    </w:r>
    <w:r w:rsidR="00C226E5">
      <w:rPr>
        <w:rFonts w:ascii="Arial" w:hAnsi="Arial" w:cs="Arial"/>
        <w:bCs/>
        <w:noProof/>
        <w:color w:val="auto"/>
        <w:sz w:val="20"/>
      </w:rPr>
      <w:t>2</w:t>
    </w:r>
    <w:r w:rsidR="00B55A21" w:rsidRPr="00B55A21">
      <w:rPr>
        <w:rFonts w:ascii="Arial" w:hAnsi="Arial" w:cs="Arial"/>
        <w:bCs/>
        <w:color w:val="auto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CA5" w:rsidRDefault="006E6CA5" w:rsidP="00B55A21">
      <w:r>
        <w:separator/>
      </w:r>
    </w:p>
  </w:footnote>
  <w:footnote w:type="continuationSeparator" w:id="0">
    <w:p w:rsidR="006E6CA5" w:rsidRDefault="006E6CA5" w:rsidP="00B55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A21" w:rsidRPr="00B76C1C" w:rsidRDefault="00067F46" w:rsidP="0078237D">
    <w:pPr>
      <w:pStyle w:val="Header"/>
      <w:pBdr>
        <w:bottom w:val="single" w:sz="4" w:space="1" w:color="auto"/>
      </w:pBdr>
      <w:spacing w:after="240" w:line="240" w:lineRule="auto"/>
      <w:jc w:val="right"/>
      <w:rPr>
        <w:rFonts w:ascii="Arial" w:hAnsi="Arial" w:cs="Arial"/>
        <w:color w:val="auto"/>
        <w:sz w:val="28"/>
      </w:rPr>
    </w:pPr>
    <w:r w:rsidRPr="00067F46">
      <w:rPr>
        <w:rFonts w:ascii="Arial" w:hAnsi="Arial" w:cs="Arial"/>
        <w:color w:val="auto"/>
        <w:sz w:val="28"/>
      </w:rPr>
      <w:t xml:space="preserve">Personal learning checklist - </w:t>
    </w:r>
    <w:r w:rsidR="00030A25" w:rsidRPr="00030A25">
      <w:rPr>
        <w:rFonts w:ascii="Arial" w:hAnsi="Arial" w:cs="Arial"/>
        <w:color w:val="auto"/>
        <w:sz w:val="28"/>
      </w:rPr>
      <w:t>Natural and tectonic hazards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B421FA"/>
    <w:multiLevelType w:val="multilevel"/>
    <w:tmpl w:val="73B2F38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E50"/>
    <w:rsid w:val="00030A25"/>
    <w:rsid w:val="00067F46"/>
    <w:rsid w:val="0009769E"/>
    <w:rsid w:val="000B5D90"/>
    <w:rsid w:val="001447C6"/>
    <w:rsid w:val="001D73D3"/>
    <w:rsid w:val="002337EF"/>
    <w:rsid w:val="00270BFA"/>
    <w:rsid w:val="00290F78"/>
    <w:rsid w:val="002C33B6"/>
    <w:rsid w:val="004B5658"/>
    <w:rsid w:val="0059452D"/>
    <w:rsid w:val="00683310"/>
    <w:rsid w:val="006B4474"/>
    <w:rsid w:val="006E6CA5"/>
    <w:rsid w:val="00720854"/>
    <w:rsid w:val="00762FE4"/>
    <w:rsid w:val="00776C0B"/>
    <w:rsid w:val="0078237D"/>
    <w:rsid w:val="00787162"/>
    <w:rsid w:val="00835990"/>
    <w:rsid w:val="00843822"/>
    <w:rsid w:val="008A27CB"/>
    <w:rsid w:val="00915190"/>
    <w:rsid w:val="00A12EA1"/>
    <w:rsid w:val="00A25B74"/>
    <w:rsid w:val="00AB5045"/>
    <w:rsid w:val="00B55A21"/>
    <w:rsid w:val="00B76C1C"/>
    <w:rsid w:val="00B91D3D"/>
    <w:rsid w:val="00BF7E37"/>
    <w:rsid w:val="00C226E5"/>
    <w:rsid w:val="00C47423"/>
    <w:rsid w:val="00C55E50"/>
    <w:rsid w:val="00DA5838"/>
    <w:rsid w:val="00E13A52"/>
    <w:rsid w:val="00E61F4F"/>
    <w:rsid w:val="00E7240F"/>
    <w:rsid w:val="00E76A52"/>
    <w:rsid w:val="00F0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9835DA6-6587-4BE1-BE44-E2C4B0D25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rebuchet MS" w:hAnsi="Trebuchet M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55E5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7162"/>
    <w:pPr>
      <w:keepNext/>
      <w:spacing w:after="240"/>
      <w:outlineLvl w:val="0"/>
    </w:pPr>
    <w:rPr>
      <w:rFonts w:eastAsia="Times New Roman" w:cs="Times New Roman"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achitnormal">
    <w:name w:val="Teachit normal"/>
    <w:basedOn w:val="Normal"/>
    <w:link w:val="TeachitnormalChar"/>
    <w:qFormat/>
    <w:rsid w:val="00B55A21"/>
    <w:pPr>
      <w:spacing w:after="0"/>
    </w:pPr>
    <w:rPr>
      <w:rFonts w:ascii="Trebuchet MS" w:hAnsi="Trebuchet MS"/>
      <w:sz w:val="24"/>
      <w:szCs w:val="36"/>
    </w:rPr>
  </w:style>
  <w:style w:type="character" w:customStyle="1" w:styleId="TeachitnormalChar">
    <w:name w:val="Teachit normal Char"/>
    <w:link w:val="Teachitnormal"/>
    <w:rsid w:val="00B55A21"/>
    <w:rPr>
      <w:rFonts w:ascii="Trebuchet MS" w:hAnsi="Trebuchet MS"/>
      <w:sz w:val="24"/>
      <w:szCs w:val="36"/>
    </w:rPr>
  </w:style>
  <w:style w:type="paragraph" w:styleId="Header">
    <w:name w:val="header"/>
    <w:basedOn w:val="Normal"/>
    <w:link w:val="Head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55A21"/>
  </w:style>
  <w:style w:type="paragraph" w:styleId="Footer">
    <w:name w:val="footer"/>
    <w:basedOn w:val="Normal"/>
    <w:link w:val="Foot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55A21"/>
  </w:style>
  <w:style w:type="character" w:styleId="Hyperlink">
    <w:name w:val="Hyperlink"/>
    <w:uiPriority w:val="99"/>
    <w:unhideWhenUsed/>
    <w:rsid w:val="00B55A21"/>
    <w:rPr>
      <w:color w:val="0095D9"/>
      <w:u w:val="single"/>
    </w:rPr>
  </w:style>
  <w:style w:type="character" w:customStyle="1" w:styleId="Heading1Char">
    <w:name w:val="Heading 1 Char"/>
    <w:link w:val="Heading1"/>
    <w:uiPriority w:val="9"/>
    <w:rsid w:val="00787162"/>
    <w:rPr>
      <w:rFonts w:eastAsia="Times New Roman" w:cs="Times New Roman"/>
      <w:bCs/>
      <w:color w:val="000000"/>
      <w:kern w:val="32"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ropbox\Teachit%20Geography%20Files\Geography%20landscap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9805E1D8809D44B7BD487A91D8E7FB" ma:contentTypeVersion="17" ma:contentTypeDescription="Create a new document." ma:contentTypeScope="" ma:versionID="d38055bf98add77f978996fa30227143">
  <xsd:schema xmlns:xsd="http://www.w3.org/2001/XMLSchema" xmlns:xs="http://www.w3.org/2001/XMLSchema" xmlns:p="http://schemas.microsoft.com/office/2006/metadata/properties" xmlns:ns2="82170f9e-043c-44f6-b8db-003699c28ac2" xmlns:ns3="d405e79c-fac6-4375-b5c3-689224bd64a4" targetNamespace="http://schemas.microsoft.com/office/2006/metadata/properties" ma:root="true" ma:fieldsID="83e0b2a37db3c47d7334a6fe87bbc84d" ns2:_="" ns3:_="">
    <xsd:import namespace="82170f9e-043c-44f6-b8db-003699c28ac2"/>
    <xsd:import namespace="d405e79c-fac6-4375-b5c3-689224bd64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70f9e-043c-44f6-b8db-003699c2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7a3c46d-88c2-427b-ae90-dcf9206c2b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5e79c-fac6-4375-b5c3-689224bd64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2a8a081-abf9-4adb-9014-5af4a6daa9f4}" ma:internalName="TaxCatchAll" ma:showField="CatchAllData" ma:web="d405e79c-fac6-4375-b5c3-689224bd64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405e79c-fac6-4375-b5c3-689224bd64a4" xsi:nil="true"/>
    <lcf76f155ced4ddcb4097134ff3c332f xmlns="82170f9e-043c-44f6-b8db-003699c28ac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E823A1-88AE-4985-AC31-9D7F729EC7DE}"/>
</file>

<file path=customXml/itemProps2.xml><?xml version="1.0" encoding="utf-8"?>
<ds:datastoreItem xmlns:ds="http://schemas.openxmlformats.org/officeDocument/2006/customXml" ds:itemID="{0B57BBC1-48F8-4486-8FC4-9AB6F8526A81}"/>
</file>

<file path=customXml/itemProps3.xml><?xml version="1.0" encoding="utf-8"?>
<ds:datastoreItem xmlns:ds="http://schemas.openxmlformats.org/officeDocument/2006/customXml" ds:itemID="{0DD39965-A791-483E-AFDD-7A77768AEE2D}"/>
</file>

<file path=docProps/app.xml><?xml version="1.0" encoding="utf-8"?>
<Properties xmlns="http://schemas.openxmlformats.org/officeDocument/2006/extended-properties" xmlns:vt="http://schemas.openxmlformats.org/officeDocument/2006/docPropsVTypes">
  <Template>Geography landscape</Template>
  <TotalTime>0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Teachit, part of the AQA family</dc:creator>
  <cp:lastModifiedBy>Trevor Smith</cp:lastModifiedBy>
  <cp:revision>4</cp:revision>
  <cp:lastPrinted>2016-06-15T10:31:00Z</cp:lastPrinted>
  <dcterms:created xsi:type="dcterms:W3CDTF">2016-06-13T05:28:00Z</dcterms:created>
  <dcterms:modified xsi:type="dcterms:W3CDTF">2018-02-14T15:52:00Z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0x010100E39805E1D8809D44B7BD487A91D8E7FB</vt:lpwstr>
  </property>
</Properties>
</file>